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6E" w:rsidRDefault="00056057" w:rsidP="00056B2F">
      <w:pPr>
        <w:pBdr>
          <w:bottom w:val="single" w:sz="4" w:space="1" w:color="auto"/>
        </w:pBdr>
        <w:shd w:val="clear" w:color="auto" w:fill="FEFEFE"/>
        <w:jc w:val="both"/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</w:pPr>
      <w:r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  <w:t>Numeralia Unach 2019</w:t>
      </w:r>
    </w:p>
    <w:p w:rsidR="006F566E" w:rsidRDefault="006F566E" w:rsidP="00056B2F">
      <w:pPr>
        <w:pBdr>
          <w:bottom w:val="single" w:sz="4" w:space="1" w:color="auto"/>
        </w:pBdr>
        <w:shd w:val="clear" w:color="auto" w:fill="FEFEFE"/>
        <w:jc w:val="both"/>
        <w:rPr>
          <w:rStyle w:val="Textoennegrita"/>
          <w:rFonts w:ascii="Arial" w:eastAsiaTheme="majorEastAsia" w:hAnsi="Arial" w:cs="Arial"/>
          <w:color w:val="18386B"/>
          <w:sz w:val="36"/>
          <w:szCs w:val="36"/>
        </w:rPr>
      </w:pPr>
    </w:p>
    <w:p w:rsidR="00056057" w:rsidRDefault="00056057" w:rsidP="00056B2F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/>
        <w:rPr>
          <w:rFonts w:ascii="Arial" w:hAnsi="Arial" w:cs="Arial"/>
          <w:color w:val="333333"/>
          <w:lang w:eastAsia="es-MX"/>
        </w:rPr>
      </w:pPr>
      <w:r>
        <w:rPr>
          <w:rStyle w:val="Textoennegrita"/>
          <w:rFonts w:ascii="Arial" w:hAnsi="Arial" w:cs="Arial"/>
          <w:color w:val="18386B"/>
          <w:sz w:val="36"/>
          <w:szCs w:val="36"/>
        </w:rPr>
        <w:t>Competitividad Académica</w:t>
      </w:r>
    </w:p>
    <w:p w:rsidR="00056057" w:rsidRDefault="00056057" w:rsidP="00056057">
      <w:r>
        <w:pict>
          <v:rect id="_x0000_i1025" style="width:0;height:0" o:hralign="center" o:hrstd="t" o:hrnoshade="t" o:hr="t" fillcolor="#333" stroked="f"/>
        </w:pict>
      </w:r>
    </w:p>
    <w:p w:rsidR="00056057" w:rsidRDefault="00056057" w:rsidP="00056057">
      <w:r>
        <w:pict>
          <v:rect id="_x0000_i1026" style="width:0;height:0" o:hralign="center" o:hrstd="t" o:hrnoshade="t" o:hr="t" fillcolor="#333" stroked="f"/>
        </w:pic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Autónoma de Chiapas, está conformada por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41</w:t>
      </w:r>
      <w:r>
        <w:rPr>
          <w:rStyle w:val="Textoennegrita"/>
          <w:rFonts w:ascii="Arial" w:hAnsi="Arial" w:cs="Arial"/>
          <w:color w:val="FBB03B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333333"/>
        </w:rPr>
        <w:t>Unidades Académicas, </w:t>
      </w:r>
      <w:r>
        <w:rPr>
          <w:rFonts w:ascii="Arial" w:hAnsi="Arial" w:cs="Arial"/>
          <w:color w:val="333333"/>
        </w:rPr>
        <w:t>con presencia en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regiones socioeconómicas en el estado:</w:t>
      </w:r>
    </w:p>
    <w:p w:rsidR="000B2DA6" w:rsidRDefault="000B2DA6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03 </w:t>
      </w:r>
      <w:r>
        <w:rPr>
          <w:rFonts w:ascii="Arial" w:hAnsi="Arial" w:cs="Arial"/>
          <w:color w:val="333333"/>
        </w:rPr>
        <w:t>Institutos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Facultades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Escuelas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07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Centros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02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Coordinaciones</w:t>
      </w:r>
    </w:p>
    <w:p w:rsidR="00056057" w:rsidRDefault="00056057" w:rsidP="006A27DE">
      <w:pPr>
        <w:jc w:val="both"/>
      </w:pPr>
      <w:r>
        <w:pict>
          <v:rect id="_x0000_i1027" style="width:0;height:0" o:hralign="center" o:hrstd="t" o:hrnoshade="t" o:hr="t" fillcolor="#333" stroked="f"/>
        </w:pic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oferta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78</w:t>
      </w:r>
      <w:r>
        <w:rPr>
          <w:rFonts w:ascii="Arial" w:hAnsi="Arial" w:cs="Arial"/>
          <w:color w:val="333333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Programas de Licenciatura: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69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Escolarizados,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No escolarizados.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Programas de Licenciatura de Calidad: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51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Programas Educativos de Calidad: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46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Escolarizados,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05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No escolarizados.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61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Programas Educativos Evaluables: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54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Escolarizados,</w:t>
      </w:r>
      <w:r>
        <w:rPr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07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No escolarizados.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20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Programas Educativos no Evaluables: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Escolarizados,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No escolarizados.</w:t>
      </w:r>
    </w:p>
    <w:p w:rsidR="00056057" w:rsidRDefault="00056057" w:rsidP="000B2DA6">
      <w:pPr>
        <w:spacing w:line="360" w:lineRule="auto"/>
        <w:jc w:val="both"/>
      </w:pPr>
      <w:r>
        <w:pict>
          <v:rect id="_x0000_i1028" style="width:0;height:0" o:hralign="center" o:hrstd="t" o:hrnoshade="t" o:hr="t" fillcolor="#333" stroked="f"/>
        </w:pict>
      </w:r>
    </w:p>
    <w:p w:rsidR="000B2DA6" w:rsidRDefault="000B2DA6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33333"/>
        </w:rPr>
      </w:pP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lastRenderedPageBreak/>
        <w:t>Matrícula de Licenciatura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22,610</w:t>
      </w:r>
      <w:r>
        <w:rPr>
          <w:rStyle w:val="Textoennegrita"/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21,563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Licenciatura Escolarizada: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11,462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10,101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1,047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Licenciatura no Escolarizada: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548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499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17,633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 xml:space="preserve">Matrícula de </w:t>
      </w:r>
      <w:proofErr w:type="gramStart"/>
      <w:r w:rsidR="00D14B23">
        <w:rPr>
          <w:rStyle w:val="Textoennegrita"/>
          <w:rFonts w:ascii="Arial" w:hAnsi="Arial" w:cs="Arial"/>
          <w:color w:val="333333"/>
        </w:rPr>
        <w:t>Calidad</w:t>
      </w:r>
      <w:proofErr w:type="gramEnd"/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9,035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8,598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19,463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Matrícula de Programas Educativos Evaluables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9,931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9,532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3,147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Matrícula de Programas Educativos no Evaluables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2,079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1,068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spacing w:line="360" w:lineRule="auto"/>
        <w:jc w:val="both"/>
      </w:pPr>
      <w:r>
        <w:pict>
          <v:rect id="_x0000_i1029" style="width:0;height:0" o:hralign="center" o:hrstd="t" o:hrnoshade="t" o:hr="t" fillcolor="#333" stroked="f"/>
        </w:pic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oferta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50</w:t>
      </w:r>
      <w:r>
        <w:rPr>
          <w:rStyle w:val="Textoennegrita"/>
          <w:rFonts w:ascii="Arial" w:hAnsi="Arial" w:cs="Arial"/>
          <w:color w:val="333333"/>
        </w:rPr>
        <w:t> Programas de Posgrado: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07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29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 No Escolarizada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Especialidades Escolarizadas.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13</w:t>
      </w:r>
      <w:r>
        <w:rPr>
          <w:rStyle w:val="Textoennegrita"/>
          <w:rFonts w:ascii="Arial" w:hAnsi="Arial" w:cs="Arial"/>
          <w:color w:val="333333"/>
        </w:rPr>
        <w:t> Programas con reconocimiento PNPC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03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Escolarizadas,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Especialidades Escolarizadas.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          Matrícula de Posgrado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664: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344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 320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01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Posgrado No escolarizado: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01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249</w:t>
      </w:r>
      <w:r>
        <w:rPr>
          <w:rStyle w:val="Textoennegrita"/>
          <w:rFonts w:ascii="Arial" w:hAnsi="Arial" w:cs="Arial"/>
          <w:color w:val="333333"/>
        </w:rPr>
        <w:t> Matricula de Calidad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126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123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77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 Escolarizados: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42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145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 Escolarizadas: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74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71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Especialidades Escolarizadas: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D14B23" w:rsidRDefault="00D14B23">
      <w:pPr>
        <w:spacing w:after="160" w:line="259" w:lineRule="auto"/>
        <w:rPr>
          <w:rStyle w:val="Textoennegrita"/>
          <w:rFonts w:ascii="Arial" w:hAnsi="Arial" w:cs="Arial"/>
          <w:color w:val="18386B"/>
          <w:sz w:val="36"/>
          <w:szCs w:val="36"/>
        </w:rPr>
      </w:pPr>
      <w:r>
        <w:rPr>
          <w:rStyle w:val="Textoennegrita"/>
          <w:rFonts w:ascii="Arial" w:hAnsi="Arial" w:cs="Arial"/>
          <w:color w:val="18386B"/>
          <w:sz w:val="36"/>
          <w:szCs w:val="36"/>
        </w:rPr>
        <w:br w:type="page"/>
      </w:r>
    </w:p>
    <w:p w:rsidR="00056057" w:rsidRDefault="00056057" w:rsidP="00D14B23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18386B"/>
          <w:sz w:val="36"/>
          <w:szCs w:val="36"/>
        </w:rPr>
        <w:lastRenderedPageBreak/>
        <w:t>Capacidad Académica</w:t>
      </w:r>
    </w:p>
    <w:p w:rsidR="00056057" w:rsidRDefault="00056057" w:rsidP="000B2DA6">
      <w:pPr>
        <w:spacing w:line="360" w:lineRule="auto"/>
        <w:jc w:val="both"/>
      </w:pPr>
      <w:r>
        <w:pict>
          <v:rect id="_x0000_i1030" style="width:0;height:0" o:hralign="center" o:hrstd="t" o:hrnoshade="t" o:hr="t" fillcolor="#333" stroked="f"/>
        </w:pic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2,431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Docentes: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800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tiempo completo,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192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medio tiempo,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1,210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Profesores de asignatura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229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Técnicos académicos.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800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Profesores de Tiempo Completo: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324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Doctores,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364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Especialistas,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89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Licenciados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04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Técnicos Académicos.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Profesores de Tiempo Completo con: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179</w:t>
      </w:r>
      <w:r>
        <w:rPr>
          <w:rStyle w:val="Textoennegrita"/>
          <w:rFonts w:ascii="Arial" w:hAnsi="Arial" w:cs="Arial"/>
          <w:color w:val="333333"/>
        </w:rPr>
        <w:t> SNI: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116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63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431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Perfiles ProDEP: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151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Maestrías: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      89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62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280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Doctorados: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162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118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77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Cuerpos Académicos: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23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En Formación,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En Consolidación,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21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Consolidados.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179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SEI: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116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63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3F2330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  <w:r>
        <w:rPr>
          <w:rStyle w:val="Textoennegrita"/>
          <w:rFonts w:ascii="Arial" w:hAnsi="Arial" w:cs="Arial"/>
          <w:color w:val="18386B"/>
          <w:sz w:val="36"/>
          <w:szCs w:val="36"/>
        </w:rPr>
        <w:t>Servicios Universitarios</w:t>
      </w:r>
    </w:p>
    <w:p w:rsidR="00056057" w:rsidRDefault="00056057" w:rsidP="000B2DA6">
      <w:pPr>
        <w:spacing w:line="360" w:lineRule="auto"/>
        <w:jc w:val="both"/>
      </w:pP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cuenta con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532,680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Acervo bibliográfico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195,340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Títulos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194,512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Libros,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102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Revistas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726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Tesis.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337,340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Volúmenes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336,477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Libros,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137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Revistas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726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Tesis.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20,872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alumnos con</w:t>
      </w:r>
      <w:r>
        <w:rPr>
          <w:rStyle w:val="Textoennegrita"/>
          <w:rFonts w:ascii="Arial" w:hAnsi="Arial" w:cs="Arial"/>
          <w:color w:val="333333"/>
        </w:rPr>
        <w:t> Seguro Facultativo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10,950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9,922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2,092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alumnos realizaron </w:t>
      </w:r>
      <w:r>
        <w:rPr>
          <w:rStyle w:val="Textoennegrita"/>
          <w:rFonts w:ascii="Arial" w:hAnsi="Arial" w:cs="Arial"/>
          <w:color w:val="333333"/>
        </w:rPr>
        <w:t>Servicio Social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                 </w:t>
      </w:r>
      <w:r>
        <w:rPr>
          <w:rFonts w:ascii="Arial" w:hAnsi="Arial" w:cs="Arial"/>
          <w:color w:val="333333"/>
        </w:rPr>
        <w:t>Interno: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    849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Intrauniversitario.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                 </w:t>
      </w:r>
      <w:r>
        <w:rPr>
          <w:rFonts w:ascii="Arial" w:hAnsi="Arial" w:cs="Arial"/>
          <w:color w:val="333333"/>
        </w:rPr>
        <w:t>Externo: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    88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en instituciones públicas,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352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productivo,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04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comunitario y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54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municipal.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Universidad cuenta con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8,434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alumnos becados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2,561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5,873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0427C" w:rsidRDefault="00E0427C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E0427C" w:rsidRDefault="00E0427C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lastRenderedPageBreak/>
        <w:t>281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Movilidad Estudiantil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158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Nacional: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60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98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123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Internacional: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43</w:t>
      </w:r>
      <w:r>
        <w:rPr>
          <w:rFonts w:ascii="Arial" w:hAnsi="Arial" w:cs="Arial"/>
          <w:color w:val="333333"/>
        </w:rPr>
        <w:t> 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80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71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Style w:val="Textoennegrita"/>
          <w:rFonts w:ascii="Arial" w:hAnsi="Arial" w:cs="Arial"/>
          <w:color w:val="333333"/>
        </w:rPr>
        <w:t>Intercambio Estudiantil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18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Nacional: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06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Masculinos,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12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53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Internacional: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16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37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11,213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alumnos atendidos por el </w:t>
      </w:r>
      <w:r>
        <w:rPr>
          <w:rStyle w:val="Textoennegrita"/>
          <w:rFonts w:ascii="Arial" w:hAnsi="Arial" w:cs="Arial"/>
          <w:color w:val="333333"/>
        </w:rPr>
        <w:t>Departamento de Lenguas.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Cursos: Alemán, Francés, Inglés, Italiano, Tsotsil, Tseltal y Chino Mandarín</w:t>
      </w:r>
      <w:r>
        <w:rPr>
          <w:rFonts w:ascii="Arial" w:hAnsi="Arial" w:cs="Arial"/>
          <w:color w:val="333333"/>
        </w:rPr>
        <w:t>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5,711</w:t>
      </w:r>
      <w:r>
        <w:rPr>
          <w:rFonts w:ascii="Arial" w:hAnsi="Arial" w:cs="Arial"/>
          <w:color w:val="333333"/>
        </w:rPr>
        <w:t> Tuxtla: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5,089</w:t>
      </w:r>
      <w:r>
        <w:rPr>
          <w:rFonts w:ascii="Arial" w:hAnsi="Arial" w:cs="Arial"/>
          <w:color w:val="FBB03B"/>
          <w:sz w:val="36"/>
          <w:szCs w:val="36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622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1,665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San Cristóbal de Las Casas: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1,311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354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 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 3,834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Tapachula:</w:t>
      </w:r>
    </w:p>
    <w:p w:rsidR="00056057" w:rsidRDefault="00056057" w:rsidP="000B2DA6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           3,350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Masculino,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487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Fonts w:ascii="Arial" w:hAnsi="Arial" w:cs="Arial"/>
          <w:color w:val="333333"/>
        </w:rPr>
        <w:t>Femenino.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56057" w:rsidRDefault="00056057" w:rsidP="00E0427C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lastRenderedPageBreak/>
        <w:t> </w:t>
      </w:r>
    </w:p>
    <w:p w:rsidR="00056057" w:rsidRDefault="00056057" w:rsidP="00E0427C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 </w:t>
      </w:r>
    </w:p>
    <w:p w:rsidR="00056057" w:rsidRDefault="00056057" w:rsidP="00E0427C">
      <w:pPr>
        <w:pStyle w:val="NormalWeb"/>
        <w:pBdr>
          <w:bottom w:val="single" w:sz="4" w:space="1" w:color="auto"/>
        </w:pBd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18386B"/>
          <w:sz w:val="36"/>
          <w:szCs w:val="36"/>
        </w:rPr>
        <w:t>Gestión institucional</w:t>
      </w:r>
    </w:p>
    <w:p w:rsidR="00056057" w:rsidRDefault="00056057" w:rsidP="006A27DE">
      <w:pPr>
        <w:jc w:val="both"/>
      </w:pPr>
      <w:r>
        <w:pict>
          <v:rect id="_x0000_i1031" style="width:0;height:0" o:hralign="center" o:hrstd="t" o:hrnoshade="t" o:hr="t" fillcolor="#333" stroked="f"/>
        </w:pict>
      </w:r>
    </w:p>
    <w:p w:rsidR="00056057" w:rsidRDefault="00056057" w:rsidP="006A27DE">
      <w:pPr>
        <w:jc w:val="both"/>
      </w:pPr>
      <w:r>
        <w:pict>
          <v:rect id="_x0000_i1032" style="width:0;height:0" o:hralign="center" o:hrstd="t" o:hrnoshade="t" o:hr="t" fillcolor="#333" stroked="f"/>
        </w:pic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Normatividad actualizada: </w:t>
      </w:r>
      <w:hyperlink r:id="rId8" w:tgtFrame="_blank" w:history="1">
        <w:r>
          <w:rPr>
            <w:rStyle w:val="Hipervnculo"/>
            <w:rFonts w:ascii="Arial" w:eastAsiaTheme="majorEastAsia" w:hAnsi="Arial" w:cs="Arial"/>
            <w:b/>
            <w:bCs/>
            <w:color w:val="FBB03B"/>
            <w:sz w:val="36"/>
            <w:szCs w:val="36"/>
          </w:rPr>
          <w:t>Ley Orgánica de la UNACH</w:t>
        </w:r>
      </w:hyperlink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Modelo educativo y académico: </w:t>
      </w:r>
      <w:hyperlink r:id="rId9" w:tgtFrame="_blank" w:history="1">
        <w:r>
          <w:rPr>
            <w:rStyle w:val="Hipervnculo"/>
            <w:rFonts w:ascii="Arial" w:eastAsiaTheme="majorEastAsia" w:hAnsi="Arial" w:cs="Arial"/>
            <w:b/>
            <w:bCs/>
            <w:color w:val="FBB03B"/>
            <w:sz w:val="36"/>
            <w:szCs w:val="36"/>
          </w:rPr>
          <w:t>Consultar</w:t>
        </w:r>
      </w:hyperlink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Costo por alumno:</w:t>
      </w:r>
      <w:r>
        <w:rPr>
          <w:rFonts w:ascii="Arial" w:hAnsi="Arial" w:cs="Arial"/>
          <w:color w:val="333333"/>
        </w:rPr>
        <w:t> 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$53,507.00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Presupuesto asignado: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 $2´159</w:t>
      </w:r>
      <w:proofErr w:type="gramStart"/>
      <w:r>
        <w:rPr>
          <w:rStyle w:val="Textoennegrita"/>
          <w:rFonts w:ascii="Arial" w:hAnsi="Arial" w:cs="Arial"/>
          <w:color w:val="FBB03B"/>
          <w:sz w:val="36"/>
          <w:szCs w:val="36"/>
        </w:rPr>
        <w:t>,368,971.66</w:t>
      </w:r>
      <w:proofErr w:type="gramEnd"/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Ingresos propios:</w:t>
      </w:r>
      <w:r>
        <w:rPr>
          <w:rStyle w:val="Textoennegrita"/>
          <w:rFonts w:ascii="Arial" w:hAnsi="Arial" w:cs="Arial"/>
          <w:color w:val="FBB03B"/>
          <w:sz w:val="36"/>
          <w:szCs w:val="36"/>
        </w:rPr>
        <w:t> $144</w:t>
      </w:r>
      <w:proofErr w:type="gramStart"/>
      <w:r>
        <w:rPr>
          <w:rStyle w:val="Textoennegrita"/>
          <w:rFonts w:ascii="Arial" w:hAnsi="Arial" w:cs="Arial"/>
          <w:color w:val="FBB03B"/>
          <w:sz w:val="36"/>
          <w:szCs w:val="36"/>
        </w:rPr>
        <w:t>,217,724.00</w:t>
      </w:r>
      <w:proofErr w:type="gramEnd"/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14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Procesos certificados.</w:t>
      </w:r>
    </w:p>
    <w:p w:rsidR="00056057" w:rsidRDefault="00056057" w:rsidP="006A27DE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FBB03B"/>
          <w:sz w:val="36"/>
          <w:szCs w:val="36"/>
        </w:rPr>
        <w:t>66</w:t>
      </w:r>
      <w:r>
        <w:rPr>
          <w:rStyle w:val="Textoennegrita"/>
          <w:rFonts w:ascii="Arial" w:hAnsi="Arial" w:cs="Arial"/>
          <w:color w:val="FBB03B"/>
          <w:sz w:val="28"/>
          <w:szCs w:val="28"/>
        </w:rPr>
        <w:t> </w:t>
      </w:r>
      <w:r>
        <w:rPr>
          <w:rStyle w:val="Textoennegrita"/>
          <w:rFonts w:ascii="Arial" w:hAnsi="Arial" w:cs="Arial"/>
          <w:color w:val="333333"/>
        </w:rPr>
        <w:t>Unidades de Vinculación Docente.</w:t>
      </w:r>
    </w:p>
    <w:p w:rsidR="006F566E" w:rsidRDefault="006F566E" w:rsidP="006A27DE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F566E" w:rsidRDefault="006F566E" w:rsidP="00E0427C">
      <w:pPr>
        <w:pStyle w:val="Ttulo4"/>
        <w:shd w:val="clear" w:color="auto" w:fill="FEFEFE"/>
        <w:jc w:val="righ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000000"/>
        </w:rPr>
        <w:t>Fuen</w:t>
      </w:r>
      <w:bookmarkStart w:id="0" w:name="_GoBack"/>
      <w:bookmarkEnd w:id="0"/>
      <w:r>
        <w:rPr>
          <w:rFonts w:ascii="Arial" w:hAnsi="Arial" w:cs="Arial"/>
          <w:color w:val="000000"/>
        </w:rPr>
        <w:t>te: 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Dependencias de</w:t>
      </w:r>
      <w:r w:rsidR="0005605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la Administración Central, 2019</w:t>
      </w:r>
    </w:p>
    <w:p w:rsidR="00454775" w:rsidRPr="004012D6" w:rsidRDefault="00454775" w:rsidP="006A27DE">
      <w:pPr>
        <w:jc w:val="both"/>
        <w:rPr>
          <w:rFonts w:ascii="Arial Narrow" w:hAnsi="Arial Narrow" w:cs="Arial"/>
          <w:sz w:val="20"/>
          <w:szCs w:val="18"/>
          <w:lang w:val="es-ES_tradnl"/>
        </w:rPr>
      </w:pPr>
    </w:p>
    <w:sectPr w:rsidR="00454775" w:rsidRPr="004012D6" w:rsidSect="002C3847">
      <w:headerReference w:type="default" r:id="rId10"/>
      <w:footerReference w:type="default" r:id="rId11"/>
      <w:type w:val="continuous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50" w:rsidRDefault="00E42550" w:rsidP="00E905EE">
      <w:r>
        <w:separator/>
      </w:r>
    </w:p>
  </w:endnote>
  <w:endnote w:type="continuationSeparator" w:id="0">
    <w:p w:rsidR="00E42550" w:rsidRDefault="00E42550" w:rsidP="00E9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AC" w:rsidRPr="00383275" w:rsidRDefault="002D5CAC" w:rsidP="0063113B">
    <w:pPr>
      <w:pStyle w:val="Piedepgina"/>
      <w:jc w:val="center"/>
      <w:rPr>
        <w:rFonts w:ascii="Arial Narrow" w:hAnsi="Arial Narrow"/>
        <w:b/>
        <w:color w:val="002E63"/>
        <w:sz w:val="18"/>
      </w:rPr>
    </w:pPr>
    <w:r w:rsidRPr="00383275">
      <w:rPr>
        <w:rFonts w:ascii="Arial Narrow" w:hAnsi="Arial Narrow"/>
        <w:b/>
        <w:color w:val="002E63"/>
        <w:sz w:val="18"/>
      </w:rPr>
      <w:t xml:space="preserve">Boulevard Belisario Domínguez, Km. 1081, Edif. De Recursos Humanos, 1er. Piso, Terán Tuxtla Gutiérrez, Chiapas, C.P. 29050, Tels. (961) 61 7 80 00 ext. 5120 y 5121. </w:t>
    </w:r>
    <w:hyperlink r:id="rId1" w:history="1">
      <w:r w:rsidRPr="00383275">
        <w:rPr>
          <w:rStyle w:val="Hipervnculo"/>
          <w:rFonts w:ascii="Arial Narrow" w:hAnsi="Arial Narrow"/>
          <w:b/>
          <w:color w:val="002E63"/>
          <w:sz w:val="18"/>
        </w:rPr>
        <w:t>www.planeacion.unach.mx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50" w:rsidRDefault="00E42550" w:rsidP="00E905EE">
      <w:r>
        <w:separator/>
      </w:r>
    </w:p>
  </w:footnote>
  <w:footnote w:type="continuationSeparator" w:id="0">
    <w:p w:rsidR="00E42550" w:rsidRDefault="00E42550" w:rsidP="00E9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AC" w:rsidRDefault="002D5CAC">
    <w:pPr>
      <w:pStyle w:val="Encabezado"/>
    </w:pPr>
    <w:r>
      <w:rPr>
        <w:noProof/>
        <w:color w:val="D4B012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0613C28" wp14:editId="2D4D8188">
              <wp:simplePos x="0" y="0"/>
              <wp:positionH relativeFrom="column">
                <wp:posOffset>-2540</wp:posOffset>
              </wp:positionH>
              <wp:positionV relativeFrom="paragraph">
                <wp:posOffset>10795</wp:posOffset>
              </wp:positionV>
              <wp:extent cx="3317240" cy="32385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CAC" w:rsidRDefault="002D5CAC" w:rsidP="00884363">
                          <w:pPr>
                            <w:rPr>
                              <w:rFonts w:ascii="Arial Narrow" w:hAnsi="Arial Narrow"/>
                              <w:color w:val="D4B012"/>
                              <w:sz w:val="18"/>
                            </w:rPr>
                          </w:pPr>
                          <w:r w:rsidRPr="00884363">
                            <w:rPr>
                              <w:rFonts w:ascii="Arial Narrow" w:hAnsi="Arial Narrow"/>
                              <w:color w:val="D4B012"/>
                              <w:sz w:val="18"/>
                            </w:rPr>
                            <w:t>DIRECCIÓN GENERAL DE PLANEACIÓN</w:t>
                          </w:r>
                        </w:p>
                        <w:p w:rsidR="002D5CAC" w:rsidRPr="002A5C2F" w:rsidRDefault="002D5CAC" w:rsidP="00884363">
                          <w:pPr>
                            <w:rPr>
                              <w:rFonts w:ascii="Arial Narrow" w:hAnsi="Arial Narrow"/>
                              <w:color w:val="D4B012"/>
                              <w:sz w:val="16"/>
                              <w:szCs w:val="16"/>
                            </w:rPr>
                          </w:pPr>
                          <w:r w:rsidRPr="002A5C2F">
                            <w:rPr>
                              <w:rFonts w:ascii="Arial Narrow" w:hAnsi="Arial Narrow"/>
                              <w:color w:val="D4B012"/>
                              <w:sz w:val="16"/>
                              <w:szCs w:val="16"/>
                            </w:rPr>
                            <w:t xml:space="preserve">DIRECCION DE SEGUIMIENTO Y EVALUACIÓN </w:t>
                          </w:r>
                        </w:p>
                        <w:p w:rsidR="002D5CAC" w:rsidRPr="002A5C2F" w:rsidRDefault="002D5CAC" w:rsidP="0088436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13C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2pt;margin-top:.85pt;width:261.2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" filled="f" stroked="f">
              <v:textbox>
                <w:txbxContent>
                  <w:p w:rsidR="002D5CAC" w:rsidRDefault="002D5CAC" w:rsidP="00884363">
                    <w:pPr>
                      <w:rPr>
                        <w:rFonts w:ascii="Arial Narrow" w:hAnsi="Arial Narrow"/>
                        <w:color w:val="D4B012"/>
                        <w:sz w:val="18"/>
                      </w:rPr>
                    </w:pPr>
                    <w:r w:rsidRPr="00884363">
                      <w:rPr>
                        <w:rFonts w:ascii="Arial Narrow" w:hAnsi="Arial Narrow"/>
                        <w:color w:val="D4B012"/>
                        <w:sz w:val="18"/>
                      </w:rPr>
                      <w:t>DIRECCIÓN GENERAL DE PLANEACIÓN</w:t>
                    </w:r>
                  </w:p>
                  <w:p w:rsidR="002D5CAC" w:rsidRPr="002A5C2F" w:rsidRDefault="002D5CAC" w:rsidP="00884363">
                    <w:pPr>
                      <w:rPr>
                        <w:rFonts w:ascii="Arial Narrow" w:hAnsi="Arial Narrow"/>
                        <w:color w:val="D4B012"/>
                        <w:sz w:val="16"/>
                        <w:szCs w:val="16"/>
                      </w:rPr>
                    </w:pPr>
                    <w:r w:rsidRPr="002A5C2F">
                      <w:rPr>
                        <w:rFonts w:ascii="Arial Narrow" w:hAnsi="Arial Narrow"/>
                        <w:color w:val="D4B012"/>
                        <w:sz w:val="16"/>
                        <w:szCs w:val="16"/>
                      </w:rPr>
                      <w:t xml:space="preserve">DIRECCION DE SEGUIMIENTO Y EVALUACIÓN </w:t>
                    </w:r>
                  </w:p>
                  <w:p w:rsidR="002D5CAC" w:rsidRPr="002A5C2F" w:rsidRDefault="002D5CAC" w:rsidP="00884363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16EFE53" wp14:editId="6A1F75B0">
          <wp:simplePos x="0" y="0"/>
          <wp:positionH relativeFrom="margin">
            <wp:posOffset>-822960</wp:posOffset>
          </wp:positionH>
          <wp:positionV relativeFrom="margin">
            <wp:posOffset>-728980</wp:posOffset>
          </wp:positionV>
          <wp:extent cx="7229475" cy="558165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310"/>
    <w:multiLevelType w:val="multilevel"/>
    <w:tmpl w:val="50F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75DB"/>
    <w:multiLevelType w:val="multilevel"/>
    <w:tmpl w:val="23C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34E78"/>
    <w:multiLevelType w:val="multilevel"/>
    <w:tmpl w:val="2C8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830EC"/>
    <w:multiLevelType w:val="multilevel"/>
    <w:tmpl w:val="29CE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9049CB"/>
    <w:multiLevelType w:val="multilevel"/>
    <w:tmpl w:val="88F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16B36"/>
    <w:multiLevelType w:val="multilevel"/>
    <w:tmpl w:val="659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C0644"/>
    <w:multiLevelType w:val="multilevel"/>
    <w:tmpl w:val="12E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33FAC"/>
    <w:multiLevelType w:val="multilevel"/>
    <w:tmpl w:val="B56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40C08"/>
    <w:multiLevelType w:val="multilevel"/>
    <w:tmpl w:val="5E5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6A7F37"/>
    <w:multiLevelType w:val="multilevel"/>
    <w:tmpl w:val="6F7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E6A34"/>
    <w:multiLevelType w:val="multilevel"/>
    <w:tmpl w:val="184E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E2B28"/>
    <w:multiLevelType w:val="multilevel"/>
    <w:tmpl w:val="9B0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51BAF"/>
    <w:multiLevelType w:val="multilevel"/>
    <w:tmpl w:val="94A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448DE"/>
    <w:multiLevelType w:val="multilevel"/>
    <w:tmpl w:val="575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6E4730"/>
    <w:multiLevelType w:val="multilevel"/>
    <w:tmpl w:val="740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A56C54"/>
    <w:multiLevelType w:val="multilevel"/>
    <w:tmpl w:val="667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FA166A"/>
    <w:multiLevelType w:val="multilevel"/>
    <w:tmpl w:val="36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FE0841"/>
    <w:multiLevelType w:val="multilevel"/>
    <w:tmpl w:val="A4E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D71C43"/>
    <w:multiLevelType w:val="multilevel"/>
    <w:tmpl w:val="C94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641F44"/>
    <w:multiLevelType w:val="multilevel"/>
    <w:tmpl w:val="515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C26218"/>
    <w:multiLevelType w:val="multilevel"/>
    <w:tmpl w:val="05C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E2368D"/>
    <w:multiLevelType w:val="multilevel"/>
    <w:tmpl w:val="F1B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9A1368"/>
    <w:multiLevelType w:val="multilevel"/>
    <w:tmpl w:val="5F06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EA746A"/>
    <w:multiLevelType w:val="multilevel"/>
    <w:tmpl w:val="95B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1693"/>
    <w:multiLevelType w:val="multilevel"/>
    <w:tmpl w:val="951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E2A0D"/>
    <w:multiLevelType w:val="multilevel"/>
    <w:tmpl w:val="BB3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B50DA7"/>
    <w:multiLevelType w:val="multilevel"/>
    <w:tmpl w:val="BE7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337223"/>
    <w:multiLevelType w:val="multilevel"/>
    <w:tmpl w:val="DE4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404BC8"/>
    <w:multiLevelType w:val="multilevel"/>
    <w:tmpl w:val="1AB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2B03AB"/>
    <w:multiLevelType w:val="multilevel"/>
    <w:tmpl w:val="D14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1"/>
  </w:num>
  <w:num w:numId="7">
    <w:abstractNumId w:val="17"/>
  </w:num>
  <w:num w:numId="8">
    <w:abstractNumId w:val="25"/>
  </w:num>
  <w:num w:numId="9">
    <w:abstractNumId w:val="3"/>
  </w:num>
  <w:num w:numId="10">
    <w:abstractNumId w:val="28"/>
  </w:num>
  <w:num w:numId="11">
    <w:abstractNumId w:val="7"/>
  </w:num>
  <w:num w:numId="12">
    <w:abstractNumId w:val="14"/>
  </w:num>
  <w:num w:numId="13">
    <w:abstractNumId w:val="20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2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0"/>
  </w:num>
  <w:num w:numId="24">
    <w:abstractNumId w:val="23"/>
  </w:num>
  <w:num w:numId="25">
    <w:abstractNumId w:val="27"/>
  </w:num>
  <w:num w:numId="26">
    <w:abstractNumId w:val="24"/>
  </w:num>
  <w:num w:numId="27">
    <w:abstractNumId w:val="11"/>
  </w:num>
  <w:num w:numId="28">
    <w:abstractNumId w:val="18"/>
  </w:num>
  <w:num w:numId="29">
    <w:abstractNumId w:val="8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0248C"/>
    <w:rsid w:val="000042AD"/>
    <w:rsid w:val="000162DA"/>
    <w:rsid w:val="00017345"/>
    <w:rsid w:val="00023E29"/>
    <w:rsid w:val="00032BA3"/>
    <w:rsid w:val="00036E4F"/>
    <w:rsid w:val="000454E2"/>
    <w:rsid w:val="0005553D"/>
    <w:rsid w:val="00056057"/>
    <w:rsid w:val="000564F9"/>
    <w:rsid w:val="00056B2F"/>
    <w:rsid w:val="00065982"/>
    <w:rsid w:val="00065DB5"/>
    <w:rsid w:val="0007393F"/>
    <w:rsid w:val="00084A67"/>
    <w:rsid w:val="00086801"/>
    <w:rsid w:val="00087F37"/>
    <w:rsid w:val="000A0D35"/>
    <w:rsid w:val="000A1600"/>
    <w:rsid w:val="000A5140"/>
    <w:rsid w:val="000A56CC"/>
    <w:rsid w:val="000B2DA6"/>
    <w:rsid w:val="000D13B4"/>
    <w:rsid w:val="000D37D0"/>
    <w:rsid w:val="000D5915"/>
    <w:rsid w:val="000F6DB1"/>
    <w:rsid w:val="00132FBD"/>
    <w:rsid w:val="0013350D"/>
    <w:rsid w:val="00135337"/>
    <w:rsid w:val="00143C27"/>
    <w:rsid w:val="001470EF"/>
    <w:rsid w:val="0015052B"/>
    <w:rsid w:val="001532F5"/>
    <w:rsid w:val="001546F9"/>
    <w:rsid w:val="00155226"/>
    <w:rsid w:val="0016675C"/>
    <w:rsid w:val="00176813"/>
    <w:rsid w:val="00185EAF"/>
    <w:rsid w:val="00190F20"/>
    <w:rsid w:val="00193CCB"/>
    <w:rsid w:val="00194F64"/>
    <w:rsid w:val="00197C4E"/>
    <w:rsid w:val="001A52E5"/>
    <w:rsid w:val="001C73C5"/>
    <w:rsid w:val="001D055D"/>
    <w:rsid w:val="001F587D"/>
    <w:rsid w:val="00200D6F"/>
    <w:rsid w:val="00204784"/>
    <w:rsid w:val="002226C7"/>
    <w:rsid w:val="00224532"/>
    <w:rsid w:val="00225878"/>
    <w:rsid w:val="00237CD9"/>
    <w:rsid w:val="002422C5"/>
    <w:rsid w:val="00267DE9"/>
    <w:rsid w:val="002A0A9C"/>
    <w:rsid w:val="002A5C2F"/>
    <w:rsid w:val="002B542F"/>
    <w:rsid w:val="002C3847"/>
    <w:rsid w:val="002D1971"/>
    <w:rsid w:val="002D4CA4"/>
    <w:rsid w:val="002D50F1"/>
    <w:rsid w:val="002D5CAC"/>
    <w:rsid w:val="002E2834"/>
    <w:rsid w:val="002F075F"/>
    <w:rsid w:val="002F5F24"/>
    <w:rsid w:val="0030019A"/>
    <w:rsid w:val="00310A13"/>
    <w:rsid w:val="00311A1D"/>
    <w:rsid w:val="00325A99"/>
    <w:rsid w:val="00330C25"/>
    <w:rsid w:val="00332C13"/>
    <w:rsid w:val="00333778"/>
    <w:rsid w:val="00351AD4"/>
    <w:rsid w:val="00351BF7"/>
    <w:rsid w:val="00357914"/>
    <w:rsid w:val="00361833"/>
    <w:rsid w:val="0036257E"/>
    <w:rsid w:val="00370901"/>
    <w:rsid w:val="0037449E"/>
    <w:rsid w:val="00383275"/>
    <w:rsid w:val="0039339D"/>
    <w:rsid w:val="0039616F"/>
    <w:rsid w:val="003C2C08"/>
    <w:rsid w:val="003D13B3"/>
    <w:rsid w:val="003D4F2E"/>
    <w:rsid w:val="003E5D5B"/>
    <w:rsid w:val="003F2211"/>
    <w:rsid w:val="003F2330"/>
    <w:rsid w:val="003F4FFB"/>
    <w:rsid w:val="004012D6"/>
    <w:rsid w:val="00402138"/>
    <w:rsid w:val="00404778"/>
    <w:rsid w:val="004115C2"/>
    <w:rsid w:val="0041294E"/>
    <w:rsid w:val="00421156"/>
    <w:rsid w:val="0042144C"/>
    <w:rsid w:val="00431CA1"/>
    <w:rsid w:val="00442557"/>
    <w:rsid w:val="00450F11"/>
    <w:rsid w:val="00452EED"/>
    <w:rsid w:val="00454775"/>
    <w:rsid w:val="00467EC0"/>
    <w:rsid w:val="004712E5"/>
    <w:rsid w:val="004740E0"/>
    <w:rsid w:val="0047624B"/>
    <w:rsid w:val="004804CE"/>
    <w:rsid w:val="00483CF2"/>
    <w:rsid w:val="00491913"/>
    <w:rsid w:val="004955D0"/>
    <w:rsid w:val="004A4049"/>
    <w:rsid w:val="004B147E"/>
    <w:rsid w:val="004B3E54"/>
    <w:rsid w:val="004C2DCF"/>
    <w:rsid w:val="004D2FDC"/>
    <w:rsid w:val="004F46E1"/>
    <w:rsid w:val="004F6D07"/>
    <w:rsid w:val="005018CF"/>
    <w:rsid w:val="00501D23"/>
    <w:rsid w:val="005105E6"/>
    <w:rsid w:val="00510BC6"/>
    <w:rsid w:val="00511972"/>
    <w:rsid w:val="005216BE"/>
    <w:rsid w:val="00522D0E"/>
    <w:rsid w:val="00524099"/>
    <w:rsid w:val="005265BA"/>
    <w:rsid w:val="00527D7B"/>
    <w:rsid w:val="00530E27"/>
    <w:rsid w:val="00534436"/>
    <w:rsid w:val="00542253"/>
    <w:rsid w:val="00542F73"/>
    <w:rsid w:val="00565A16"/>
    <w:rsid w:val="00567259"/>
    <w:rsid w:val="005702C4"/>
    <w:rsid w:val="00575038"/>
    <w:rsid w:val="00587351"/>
    <w:rsid w:val="005935BB"/>
    <w:rsid w:val="005976F7"/>
    <w:rsid w:val="005A0870"/>
    <w:rsid w:val="005A1A67"/>
    <w:rsid w:val="005A6A60"/>
    <w:rsid w:val="005B14C9"/>
    <w:rsid w:val="005B16B9"/>
    <w:rsid w:val="005B2EFE"/>
    <w:rsid w:val="005C2951"/>
    <w:rsid w:val="005C30F1"/>
    <w:rsid w:val="005C31B2"/>
    <w:rsid w:val="005D0A6A"/>
    <w:rsid w:val="005D6357"/>
    <w:rsid w:val="005E0B57"/>
    <w:rsid w:val="005E1017"/>
    <w:rsid w:val="005E245F"/>
    <w:rsid w:val="005E421D"/>
    <w:rsid w:val="00600FE4"/>
    <w:rsid w:val="00604326"/>
    <w:rsid w:val="00611714"/>
    <w:rsid w:val="006120A7"/>
    <w:rsid w:val="006138D7"/>
    <w:rsid w:val="00621FCE"/>
    <w:rsid w:val="00624390"/>
    <w:rsid w:val="006252E9"/>
    <w:rsid w:val="006274F5"/>
    <w:rsid w:val="0063113B"/>
    <w:rsid w:val="00635184"/>
    <w:rsid w:val="006406DE"/>
    <w:rsid w:val="00642538"/>
    <w:rsid w:val="0065136F"/>
    <w:rsid w:val="006535CC"/>
    <w:rsid w:val="006614CE"/>
    <w:rsid w:val="006635C0"/>
    <w:rsid w:val="006676D1"/>
    <w:rsid w:val="00671881"/>
    <w:rsid w:val="00676EC5"/>
    <w:rsid w:val="00677F6A"/>
    <w:rsid w:val="006805C0"/>
    <w:rsid w:val="0068257C"/>
    <w:rsid w:val="00687A23"/>
    <w:rsid w:val="006A053B"/>
    <w:rsid w:val="006A27DE"/>
    <w:rsid w:val="006B2570"/>
    <w:rsid w:val="006C368B"/>
    <w:rsid w:val="006D08BE"/>
    <w:rsid w:val="006D0A95"/>
    <w:rsid w:val="006E259D"/>
    <w:rsid w:val="006E694F"/>
    <w:rsid w:val="006E6B62"/>
    <w:rsid w:val="006F2817"/>
    <w:rsid w:val="006F566E"/>
    <w:rsid w:val="007121E9"/>
    <w:rsid w:val="00712350"/>
    <w:rsid w:val="0071273B"/>
    <w:rsid w:val="00716F8F"/>
    <w:rsid w:val="007223CC"/>
    <w:rsid w:val="00730BE8"/>
    <w:rsid w:val="0073392D"/>
    <w:rsid w:val="007345A0"/>
    <w:rsid w:val="00737B1E"/>
    <w:rsid w:val="00745FE4"/>
    <w:rsid w:val="0074757C"/>
    <w:rsid w:val="00747EE3"/>
    <w:rsid w:val="0075307C"/>
    <w:rsid w:val="0075529E"/>
    <w:rsid w:val="00763CF2"/>
    <w:rsid w:val="00772076"/>
    <w:rsid w:val="007730E1"/>
    <w:rsid w:val="00780FFE"/>
    <w:rsid w:val="00782D43"/>
    <w:rsid w:val="00786058"/>
    <w:rsid w:val="0079240B"/>
    <w:rsid w:val="007A4859"/>
    <w:rsid w:val="007A549B"/>
    <w:rsid w:val="007A6AA6"/>
    <w:rsid w:val="007B1A95"/>
    <w:rsid w:val="007C512F"/>
    <w:rsid w:val="007C7AFC"/>
    <w:rsid w:val="007C7C0A"/>
    <w:rsid w:val="007D22D6"/>
    <w:rsid w:val="007D5DE1"/>
    <w:rsid w:val="007D6C72"/>
    <w:rsid w:val="007E15F6"/>
    <w:rsid w:val="007E1EF6"/>
    <w:rsid w:val="007E2844"/>
    <w:rsid w:val="007E4E2F"/>
    <w:rsid w:val="007F04A6"/>
    <w:rsid w:val="007F493A"/>
    <w:rsid w:val="007F621A"/>
    <w:rsid w:val="008016FC"/>
    <w:rsid w:val="00801DA8"/>
    <w:rsid w:val="00804A9F"/>
    <w:rsid w:val="0080598E"/>
    <w:rsid w:val="00806AF5"/>
    <w:rsid w:val="0081182D"/>
    <w:rsid w:val="00815659"/>
    <w:rsid w:val="00823542"/>
    <w:rsid w:val="008372C0"/>
    <w:rsid w:val="008407D8"/>
    <w:rsid w:val="00841458"/>
    <w:rsid w:val="00842873"/>
    <w:rsid w:val="00843E75"/>
    <w:rsid w:val="00861CE2"/>
    <w:rsid w:val="00862B79"/>
    <w:rsid w:val="00864C26"/>
    <w:rsid w:val="00866FDA"/>
    <w:rsid w:val="00871672"/>
    <w:rsid w:val="00881FE1"/>
    <w:rsid w:val="00884363"/>
    <w:rsid w:val="0088543E"/>
    <w:rsid w:val="00886F5E"/>
    <w:rsid w:val="00897885"/>
    <w:rsid w:val="008B5A5C"/>
    <w:rsid w:val="008B66EB"/>
    <w:rsid w:val="008D117B"/>
    <w:rsid w:val="008D55CB"/>
    <w:rsid w:val="008E4F21"/>
    <w:rsid w:val="008E54BE"/>
    <w:rsid w:val="008E6FDE"/>
    <w:rsid w:val="008F0E7B"/>
    <w:rsid w:val="00900F74"/>
    <w:rsid w:val="00904A10"/>
    <w:rsid w:val="00904B4C"/>
    <w:rsid w:val="00904B9F"/>
    <w:rsid w:val="00910D10"/>
    <w:rsid w:val="00911210"/>
    <w:rsid w:val="00915664"/>
    <w:rsid w:val="00916F26"/>
    <w:rsid w:val="009263B0"/>
    <w:rsid w:val="00930A4E"/>
    <w:rsid w:val="00932EB0"/>
    <w:rsid w:val="0093396E"/>
    <w:rsid w:val="009357DD"/>
    <w:rsid w:val="00937E55"/>
    <w:rsid w:val="0094763A"/>
    <w:rsid w:val="00962D5E"/>
    <w:rsid w:val="00964A83"/>
    <w:rsid w:val="00972A64"/>
    <w:rsid w:val="00977471"/>
    <w:rsid w:val="00983A8D"/>
    <w:rsid w:val="009876D0"/>
    <w:rsid w:val="00993EC1"/>
    <w:rsid w:val="009A3112"/>
    <w:rsid w:val="009A390B"/>
    <w:rsid w:val="009B4B6C"/>
    <w:rsid w:val="009B5EB0"/>
    <w:rsid w:val="009C15C3"/>
    <w:rsid w:val="009D2CCB"/>
    <w:rsid w:val="009E2ACD"/>
    <w:rsid w:val="009E3F15"/>
    <w:rsid w:val="009F466B"/>
    <w:rsid w:val="00A03F18"/>
    <w:rsid w:val="00A1294F"/>
    <w:rsid w:val="00A1368B"/>
    <w:rsid w:val="00A1487A"/>
    <w:rsid w:val="00A16529"/>
    <w:rsid w:val="00A30F9F"/>
    <w:rsid w:val="00A34F44"/>
    <w:rsid w:val="00A3728D"/>
    <w:rsid w:val="00A40230"/>
    <w:rsid w:val="00A40CEF"/>
    <w:rsid w:val="00A428A4"/>
    <w:rsid w:val="00A431A5"/>
    <w:rsid w:val="00A505A7"/>
    <w:rsid w:val="00A53416"/>
    <w:rsid w:val="00A56433"/>
    <w:rsid w:val="00A601B3"/>
    <w:rsid w:val="00A625C2"/>
    <w:rsid w:val="00A71FFA"/>
    <w:rsid w:val="00A74F06"/>
    <w:rsid w:val="00A77E3F"/>
    <w:rsid w:val="00A803BB"/>
    <w:rsid w:val="00A83E9F"/>
    <w:rsid w:val="00A86CBB"/>
    <w:rsid w:val="00A90844"/>
    <w:rsid w:val="00A93CEB"/>
    <w:rsid w:val="00AA457B"/>
    <w:rsid w:val="00AA5139"/>
    <w:rsid w:val="00AB0489"/>
    <w:rsid w:val="00AC338B"/>
    <w:rsid w:val="00AC3DBF"/>
    <w:rsid w:val="00AC59DE"/>
    <w:rsid w:val="00AD473B"/>
    <w:rsid w:val="00AD7042"/>
    <w:rsid w:val="00AE0898"/>
    <w:rsid w:val="00AE24EB"/>
    <w:rsid w:val="00AE2976"/>
    <w:rsid w:val="00AE35F2"/>
    <w:rsid w:val="00AE4975"/>
    <w:rsid w:val="00AF4772"/>
    <w:rsid w:val="00AF5A87"/>
    <w:rsid w:val="00AF6A86"/>
    <w:rsid w:val="00B01EED"/>
    <w:rsid w:val="00B21178"/>
    <w:rsid w:val="00B32A39"/>
    <w:rsid w:val="00B369C4"/>
    <w:rsid w:val="00B4605E"/>
    <w:rsid w:val="00B64B46"/>
    <w:rsid w:val="00B71CBE"/>
    <w:rsid w:val="00B74869"/>
    <w:rsid w:val="00B7512B"/>
    <w:rsid w:val="00B802DC"/>
    <w:rsid w:val="00B85DF1"/>
    <w:rsid w:val="00B96B68"/>
    <w:rsid w:val="00B97D94"/>
    <w:rsid w:val="00BA167E"/>
    <w:rsid w:val="00BB7F20"/>
    <w:rsid w:val="00BC7ED4"/>
    <w:rsid w:val="00BD2BB3"/>
    <w:rsid w:val="00BD6991"/>
    <w:rsid w:val="00BE06FB"/>
    <w:rsid w:val="00BE1CAB"/>
    <w:rsid w:val="00BE6D56"/>
    <w:rsid w:val="00BF0D95"/>
    <w:rsid w:val="00BF3BE6"/>
    <w:rsid w:val="00C07828"/>
    <w:rsid w:val="00C22763"/>
    <w:rsid w:val="00C27368"/>
    <w:rsid w:val="00C3117C"/>
    <w:rsid w:val="00C336F1"/>
    <w:rsid w:val="00C4219F"/>
    <w:rsid w:val="00C45671"/>
    <w:rsid w:val="00C46778"/>
    <w:rsid w:val="00C47ED1"/>
    <w:rsid w:val="00C53659"/>
    <w:rsid w:val="00C55ADF"/>
    <w:rsid w:val="00C565E8"/>
    <w:rsid w:val="00C56DFA"/>
    <w:rsid w:val="00C62FF1"/>
    <w:rsid w:val="00C63020"/>
    <w:rsid w:val="00C6327F"/>
    <w:rsid w:val="00C67A54"/>
    <w:rsid w:val="00C67C80"/>
    <w:rsid w:val="00C81B8C"/>
    <w:rsid w:val="00C82DF5"/>
    <w:rsid w:val="00C8777E"/>
    <w:rsid w:val="00CB0144"/>
    <w:rsid w:val="00CB2039"/>
    <w:rsid w:val="00CB5C09"/>
    <w:rsid w:val="00CC564B"/>
    <w:rsid w:val="00CD1D04"/>
    <w:rsid w:val="00CD5CE1"/>
    <w:rsid w:val="00CD75FE"/>
    <w:rsid w:val="00CF3DBC"/>
    <w:rsid w:val="00CF63D7"/>
    <w:rsid w:val="00D01550"/>
    <w:rsid w:val="00D14B23"/>
    <w:rsid w:val="00D20663"/>
    <w:rsid w:val="00D36DF5"/>
    <w:rsid w:val="00D37C81"/>
    <w:rsid w:val="00D412A2"/>
    <w:rsid w:val="00D4504A"/>
    <w:rsid w:val="00D6185A"/>
    <w:rsid w:val="00D61AF6"/>
    <w:rsid w:val="00D66559"/>
    <w:rsid w:val="00D67B3F"/>
    <w:rsid w:val="00D778D8"/>
    <w:rsid w:val="00D94441"/>
    <w:rsid w:val="00D94B9B"/>
    <w:rsid w:val="00DA1F42"/>
    <w:rsid w:val="00DC0D03"/>
    <w:rsid w:val="00DD23AD"/>
    <w:rsid w:val="00DE78F5"/>
    <w:rsid w:val="00E0427C"/>
    <w:rsid w:val="00E06DCF"/>
    <w:rsid w:val="00E0749A"/>
    <w:rsid w:val="00E07E38"/>
    <w:rsid w:val="00E121C0"/>
    <w:rsid w:val="00E145EE"/>
    <w:rsid w:val="00E23FEF"/>
    <w:rsid w:val="00E24D86"/>
    <w:rsid w:val="00E30975"/>
    <w:rsid w:val="00E31555"/>
    <w:rsid w:val="00E37B32"/>
    <w:rsid w:val="00E41458"/>
    <w:rsid w:val="00E42550"/>
    <w:rsid w:val="00E447DC"/>
    <w:rsid w:val="00E537A2"/>
    <w:rsid w:val="00E6036A"/>
    <w:rsid w:val="00E634A1"/>
    <w:rsid w:val="00E639E6"/>
    <w:rsid w:val="00E74737"/>
    <w:rsid w:val="00E768C8"/>
    <w:rsid w:val="00E80E0D"/>
    <w:rsid w:val="00E85D4C"/>
    <w:rsid w:val="00E905EE"/>
    <w:rsid w:val="00E9200D"/>
    <w:rsid w:val="00EB25F4"/>
    <w:rsid w:val="00EC344E"/>
    <w:rsid w:val="00ED00AB"/>
    <w:rsid w:val="00EE18D1"/>
    <w:rsid w:val="00EE4821"/>
    <w:rsid w:val="00EF7FF3"/>
    <w:rsid w:val="00F01F47"/>
    <w:rsid w:val="00F05C9D"/>
    <w:rsid w:val="00F201CB"/>
    <w:rsid w:val="00F20AAD"/>
    <w:rsid w:val="00F22BBE"/>
    <w:rsid w:val="00F23627"/>
    <w:rsid w:val="00F23BDE"/>
    <w:rsid w:val="00F244EA"/>
    <w:rsid w:val="00F477FD"/>
    <w:rsid w:val="00F56ABE"/>
    <w:rsid w:val="00F56CCC"/>
    <w:rsid w:val="00F62276"/>
    <w:rsid w:val="00F64322"/>
    <w:rsid w:val="00F6442C"/>
    <w:rsid w:val="00F658D6"/>
    <w:rsid w:val="00F72599"/>
    <w:rsid w:val="00F8109B"/>
    <w:rsid w:val="00F83885"/>
    <w:rsid w:val="00F842E3"/>
    <w:rsid w:val="00F96F61"/>
    <w:rsid w:val="00FA73E3"/>
    <w:rsid w:val="00FB5B9B"/>
    <w:rsid w:val="00FD0C81"/>
    <w:rsid w:val="00FD7C00"/>
    <w:rsid w:val="00FE5D23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06FB0-A018-4CB6-AEB9-0502DEC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6F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link w:val="Ttulo4Car"/>
    <w:uiPriority w:val="9"/>
    <w:qFormat/>
    <w:rsid w:val="00624390"/>
    <w:pPr>
      <w:spacing w:before="100" w:beforeAutospacing="1" w:after="100" w:afterAutospacing="1"/>
      <w:outlineLvl w:val="3"/>
    </w:pPr>
    <w:rPr>
      <w:b/>
      <w:bCs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16F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2439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D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styleId="Hipervnculo">
    <w:name w:val="Hyperlink"/>
    <w:basedOn w:val="Fuentedeprrafopredeter"/>
    <w:uiPriority w:val="99"/>
    <w:unhideWhenUsed/>
    <w:rsid w:val="0038327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E259D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42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B66EB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1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16F26"/>
    <w:pPr>
      <w:widowControl w:val="0"/>
      <w:autoSpaceDE w:val="0"/>
      <w:autoSpaceDN w:val="0"/>
      <w:spacing w:line="408" w:lineRule="atLeast"/>
      <w:jc w:val="both"/>
    </w:pPr>
    <w:rPr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90"/>
    <w:rPr>
      <w:rFonts w:ascii="Segoe UI" w:eastAsiaTheme="minorEastAsia" w:hAnsi="Segoe UI" w:cs="Segoe UI"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390"/>
    <w:rPr>
      <w:rFonts w:ascii="Segoe UI" w:eastAsiaTheme="minorEastAsia" w:hAnsi="Segoe UI" w:cs="Segoe UI"/>
      <w:sz w:val="18"/>
      <w:szCs w:val="18"/>
      <w:lang w:eastAsia="es-MX"/>
    </w:rPr>
  </w:style>
  <w:style w:type="character" w:customStyle="1" w:styleId="il">
    <w:name w:val="il"/>
    <w:basedOn w:val="Fuentedeprrafopredeter"/>
    <w:rsid w:val="00624390"/>
  </w:style>
  <w:style w:type="character" w:customStyle="1" w:styleId="apple-converted-space">
    <w:name w:val="apple-converted-space"/>
    <w:basedOn w:val="Fuentedeprrafopredeter"/>
    <w:rsid w:val="00624390"/>
  </w:style>
  <w:style w:type="character" w:styleId="Textoennegrita">
    <w:name w:val="Strong"/>
    <w:basedOn w:val="Fuentedeprrafopredeter"/>
    <w:uiPriority w:val="22"/>
    <w:qFormat/>
    <w:rsid w:val="00624390"/>
    <w:rPr>
      <w:b/>
      <w:bCs/>
    </w:rPr>
  </w:style>
  <w:style w:type="paragraph" w:customStyle="1" w:styleId="DestREmit">
    <w:name w:val="DestREmit"/>
    <w:next w:val="Normal"/>
    <w:rsid w:val="00624390"/>
    <w:pPr>
      <w:spacing w:before="240" w:after="0" w:line="240" w:lineRule="auto"/>
    </w:pPr>
    <w:rPr>
      <w:rFonts w:ascii="Eras Demi ITC" w:eastAsia="Times New Roman" w:hAnsi="Eras Demi ITC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11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ch.mx/images/documentos/LEY_ORGaNICA_DE_LA_UNIVERSIDAD_AUToNOMA_DE_CHIAPA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ach.mx/component/k2/modelo-educativo-y-academi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acion.unac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70C5-FCB0-4E26-BBB0-896C2ADE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Chava-Lap</cp:lastModifiedBy>
  <cp:revision>8</cp:revision>
  <cp:lastPrinted>2022-02-11T21:39:00Z</cp:lastPrinted>
  <dcterms:created xsi:type="dcterms:W3CDTF">2022-11-25T19:01:00Z</dcterms:created>
  <dcterms:modified xsi:type="dcterms:W3CDTF">2022-11-25T19:15:00Z</dcterms:modified>
</cp:coreProperties>
</file>